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7BC" w:rsidRPr="00573696" w:rsidRDefault="008F17BC" w:rsidP="008F17BC">
      <w:pPr>
        <w:jc w:val="center"/>
        <w:rPr>
          <w:rFonts w:ascii="Tahoma" w:hAnsi="Tahoma" w:cs="Tahoma"/>
          <w:b/>
          <w:sz w:val="24"/>
        </w:rPr>
      </w:pPr>
      <w:r w:rsidRPr="00573696">
        <w:rPr>
          <w:rFonts w:ascii="Tahoma" w:hAnsi="Tahoma" w:cs="Tahoma"/>
          <w:b/>
          <w:sz w:val="24"/>
        </w:rPr>
        <w:t>Uluslararası Kaynak Muayene Personeli – Kapsamlı Eğitimi</w:t>
      </w:r>
    </w:p>
    <w:p w:rsidR="008F17BC" w:rsidRPr="00573696" w:rsidRDefault="008F17BC" w:rsidP="008F17BC">
      <w:pPr>
        <w:jc w:val="center"/>
        <w:rPr>
          <w:rFonts w:ascii="Tahoma" w:hAnsi="Tahoma" w:cs="Tahoma"/>
          <w:b/>
          <w:sz w:val="24"/>
        </w:rPr>
      </w:pPr>
      <w:r w:rsidRPr="00573696">
        <w:rPr>
          <w:rFonts w:ascii="Tahoma" w:hAnsi="Tahoma" w:cs="Tahoma"/>
          <w:b/>
          <w:sz w:val="24"/>
        </w:rPr>
        <w:t xml:space="preserve">(International </w:t>
      </w:r>
      <w:proofErr w:type="spellStart"/>
      <w:r w:rsidRPr="00573696">
        <w:rPr>
          <w:rFonts w:ascii="Tahoma" w:hAnsi="Tahoma" w:cs="Tahoma"/>
          <w:b/>
          <w:sz w:val="24"/>
        </w:rPr>
        <w:t>Welding</w:t>
      </w:r>
      <w:proofErr w:type="spellEnd"/>
      <w:r w:rsidRPr="00573696">
        <w:rPr>
          <w:rFonts w:ascii="Tahoma" w:hAnsi="Tahoma" w:cs="Tahoma"/>
          <w:b/>
          <w:sz w:val="24"/>
        </w:rPr>
        <w:t xml:space="preserve"> </w:t>
      </w:r>
      <w:proofErr w:type="spellStart"/>
      <w:r w:rsidRPr="00573696">
        <w:rPr>
          <w:rFonts w:ascii="Tahoma" w:hAnsi="Tahoma" w:cs="Tahoma"/>
          <w:b/>
          <w:sz w:val="24"/>
        </w:rPr>
        <w:t>Inspection</w:t>
      </w:r>
      <w:proofErr w:type="spellEnd"/>
      <w:r w:rsidRPr="00573696">
        <w:rPr>
          <w:rFonts w:ascii="Tahoma" w:hAnsi="Tahoma" w:cs="Tahoma"/>
          <w:b/>
          <w:sz w:val="24"/>
        </w:rPr>
        <w:t xml:space="preserve"> </w:t>
      </w:r>
      <w:proofErr w:type="spellStart"/>
      <w:r w:rsidRPr="00573696">
        <w:rPr>
          <w:rFonts w:ascii="Tahoma" w:hAnsi="Tahoma" w:cs="Tahoma"/>
          <w:b/>
          <w:sz w:val="24"/>
        </w:rPr>
        <w:t>Personnel-Comprehensive</w:t>
      </w:r>
      <w:proofErr w:type="spellEnd"/>
      <w:r w:rsidRPr="00573696">
        <w:rPr>
          <w:rFonts w:ascii="Tahoma" w:hAnsi="Tahoma" w:cs="Tahoma"/>
          <w:b/>
          <w:sz w:val="24"/>
        </w:rPr>
        <w:t>, IWI-C)</w:t>
      </w:r>
    </w:p>
    <w:p w:rsidR="008F17BC" w:rsidRPr="00573696" w:rsidRDefault="008F17BC" w:rsidP="008F17BC">
      <w:pPr>
        <w:rPr>
          <w:rFonts w:ascii="Tahoma" w:hAnsi="Tahoma" w:cs="Tahoma"/>
          <w:sz w:val="20"/>
          <w:szCs w:val="20"/>
        </w:rPr>
      </w:pPr>
      <w:r w:rsidRPr="00573696">
        <w:rPr>
          <w:rFonts w:ascii="Tahoma" w:hAnsi="Tahoma" w:cs="Tahoma"/>
          <w:b/>
          <w:sz w:val="20"/>
          <w:szCs w:val="20"/>
        </w:rPr>
        <w:t>Uluslararası Kaynak Muayene Personeli-Kapsamlı</w:t>
      </w:r>
      <w:r w:rsidRPr="00573696">
        <w:rPr>
          <w:rFonts w:ascii="Tahoma" w:hAnsi="Tahoma" w:cs="Tahoma"/>
          <w:sz w:val="20"/>
          <w:szCs w:val="20"/>
        </w:rPr>
        <w:t xml:space="preserve"> (International </w:t>
      </w:r>
      <w:proofErr w:type="spellStart"/>
      <w:r w:rsidRPr="00573696">
        <w:rPr>
          <w:rFonts w:ascii="Tahoma" w:hAnsi="Tahoma" w:cs="Tahoma"/>
          <w:sz w:val="20"/>
          <w:szCs w:val="20"/>
        </w:rPr>
        <w:t>Welding</w:t>
      </w:r>
      <w:proofErr w:type="spellEnd"/>
      <w:r w:rsidRPr="00573696">
        <w:rPr>
          <w:rFonts w:ascii="Tahoma" w:hAnsi="Tahoma" w:cs="Tahoma"/>
          <w:sz w:val="20"/>
          <w:szCs w:val="20"/>
        </w:rPr>
        <w:t xml:space="preserve"> </w:t>
      </w:r>
      <w:proofErr w:type="spellStart"/>
      <w:r w:rsidRPr="00573696">
        <w:rPr>
          <w:rFonts w:ascii="Tahoma" w:hAnsi="Tahoma" w:cs="Tahoma"/>
          <w:sz w:val="20"/>
          <w:szCs w:val="20"/>
        </w:rPr>
        <w:t>Inspection</w:t>
      </w:r>
      <w:proofErr w:type="spellEnd"/>
      <w:r w:rsidRPr="00573696">
        <w:rPr>
          <w:rFonts w:ascii="Tahoma" w:hAnsi="Tahoma" w:cs="Tahoma"/>
          <w:sz w:val="20"/>
          <w:szCs w:val="20"/>
        </w:rPr>
        <w:t xml:space="preserve"> </w:t>
      </w:r>
      <w:proofErr w:type="spellStart"/>
      <w:r w:rsidRPr="00573696">
        <w:rPr>
          <w:rFonts w:ascii="Tahoma" w:hAnsi="Tahoma" w:cs="Tahoma"/>
          <w:sz w:val="20"/>
          <w:szCs w:val="20"/>
        </w:rPr>
        <w:t>Personnel-Comprehensive</w:t>
      </w:r>
      <w:proofErr w:type="spellEnd"/>
      <w:r w:rsidRPr="00573696">
        <w:rPr>
          <w:rFonts w:ascii="Tahoma" w:hAnsi="Tahoma" w:cs="Tahoma"/>
          <w:sz w:val="20"/>
          <w:szCs w:val="20"/>
        </w:rPr>
        <w:t>) eğitimleri Uluslararası Kay</w:t>
      </w:r>
      <w:r w:rsidR="004048DC">
        <w:rPr>
          <w:rFonts w:ascii="Tahoma" w:hAnsi="Tahoma" w:cs="Tahoma"/>
          <w:sz w:val="20"/>
          <w:szCs w:val="20"/>
        </w:rPr>
        <w:t>nak Enstitüsü (IIW) IAB-041</w:t>
      </w:r>
      <w:r w:rsidRPr="00573696">
        <w:rPr>
          <w:rFonts w:ascii="Tahoma" w:hAnsi="Tahoma" w:cs="Tahoma"/>
          <w:sz w:val="20"/>
          <w:szCs w:val="20"/>
        </w:rPr>
        <w:t xml:space="preserve"> numaralı yönetmeliğine uygun olarak yapılmaktadır. Sınavlarda başarılı olanlar, uluslararası geçerlilikte IWI-C </w:t>
      </w:r>
      <w:r w:rsidRPr="00573696">
        <w:rPr>
          <w:rFonts w:ascii="Tahoma" w:hAnsi="Tahoma" w:cs="Tahoma"/>
          <w:b/>
          <w:sz w:val="20"/>
          <w:szCs w:val="20"/>
        </w:rPr>
        <w:t>diploması</w:t>
      </w:r>
      <w:r w:rsidRPr="00573696">
        <w:rPr>
          <w:rFonts w:ascii="Tahoma" w:hAnsi="Tahoma" w:cs="Tahoma"/>
          <w:sz w:val="20"/>
          <w:szCs w:val="20"/>
        </w:rPr>
        <w:t xml:space="preserve"> almaya hak kazanacaktır. Belgelendirme, Türkiye Yetkilendirilmiş Ulusal Kuruluşu (TR-ANB) tarafından yapılacaktır.</w:t>
      </w:r>
    </w:p>
    <w:p w:rsidR="008F17BC" w:rsidRPr="00573696" w:rsidRDefault="008F17BC" w:rsidP="008F17BC">
      <w:pPr>
        <w:rPr>
          <w:rFonts w:ascii="Tahoma" w:hAnsi="Tahoma" w:cs="Tahoma"/>
          <w:b/>
          <w:sz w:val="20"/>
          <w:szCs w:val="20"/>
        </w:rPr>
      </w:pPr>
      <w:r w:rsidRPr="00573696">
        <w:rPr>
          <w:rFonts w:ascii="Tahoma" w:hAnsi="Tahoma" w:cs="Tahoma"/>
          <w:b/>
          <w:sz w:val="20"/>
          <w:szCs w:val="20"/>
        </w:rPr>
        <w:t>Kimler katılabilir:</w:t>
      </w:r>
    </w:p>
    <w:p w:rsidR="008F17BC" w:rsidRPr="00573696" w:rsidRDefault="008F17BC" w:rsidP="008F17BC">
      <w:pPr>
        <w:rPr>
          <w:rFonts w:ascii="Tahoma" w:hAnsi="Tahoma" w:cs="Tahoma"/>
          <w:sz w:val="20"/>
          <w:szCs w:val="20"/>
        </w:rPr>
      </w:pPr>
      <w:r w:rsidRPr="0020036A">
        <w:rPr>
          <w:rFonts w:ascii="Tahoma" w:hAnsi="Tahoma" w:cs="Tahoma"/>
          <w:sz w:val="20"/>
          <w:szCs w:val="20"/>
        </w:rPr>
        <w:t>Eğitim; 1</w:t>
      </w:r>
      <w:r w:rsidR="004D3EFC" w:rsidRPr="0020036A">
        <w:rPr>
          <w:rFonts w:ascii="Tahoma" w:hAnsi="Tahoma" w:cs="Tahoma"/>
          <w:sz w:val="20"/>
          <w:szCs w:val="20"/>
        </w:rPr>
        <w:t>03</w:t>
      </w:r>
      <w:r w:rsidRPr="0020036A">
        <w:rPr>
          <w:rFonts w:ascii="Tahoma" w:hAnsi="Tahoma" w:cs="Tahoma"/>
          <w:sz w:val="20"/>
          <w:szCs w:val="20"/>
        </w:rPr>
        <w:t xml:space="preserve"> saatlik bir Kaynak Teknolojisi Modülü (3 hafta) ve bunun üzerine </w:t>
      </w:r>
      <w:r w:rsidR="004D3EFC" w:rsidRPr="0020036A">
        <w:rPr>
          <w:rFonts w:ascii="Tahoma" w:hAnsi="Tahoma" w:cs="Tahoma"/>
          <w:sz w:val="20"/>
          <w:szCs w:val="20"/>
        </w:rPr>
        <w:t>128</w:t>
      </w:r>
      <w:r w:rsidRPr="0020036A">
        <w:rPr>
          <w:rFonts w:ascii="Tahoma" w:hAnsi="Tahoma" w:cs="Tahoma"/>
          <w:sz w:val="20"/>
          <w:szCs w:val="20"/>
        </w:rPr>
        <w:t xml:space="preserve"> saatlik bir Kaynak Muayenesi Modülünden (2,5 hafta) oluşmaktadır.</w:t>
      </w:r>
    </w:p>
    <w:p w:rsidR="00E975B4" w:rsidRPr="00573696" w:rsidRDefault="008F17BC" w:rsidP="008F17BC">
      <w:pPr>
        <w:rPr>
          <w:rFonts w:ascii="Tahoma" w:hAnsi="Tahoma" w:cs="Tahoma"/>
          <w:sz w:val="20"/>
          <w:szCs w:val="20"/>
        </w:rPr>
      </w:pPr>
      <w:r w:rsidRPr="00573696">
        <w:rPr>
          <w:rFonts w:ascii="Tahoma" w:hAnsi="Tahoma" w:cs="Tahoma"/>
          <w:sz w:val="20"/>
          <w:szCs w:val="20"/>
        </w:rPr>
        <w:t>Eğitimin yalnızca Kaynak Muayenesi Modülü (WI III) ile sınırlı tutulması ile sürenin kısaltılması mümkündür. Bu uygulamadan ilgili yönetmeliğe göre iki grup katılımcı yararlanabilir. Bu katılımcıların niteliklerine bağlı olarak tanımlanmış olan uygulamalar aşağıdaki tabloda (A) ve (B) yolları ile gösterilmiştir.</w:t>
      </w:r>
    </w:p>
    <w:p w:rsidR="00535099" w:rsidRDefault="00281C9E" w:rsidP="008F17BC">
      <w:pPr>
        <w:rPr>
          <w:sz w:val="20"/>
        </w:rPr>
      </w:pPr>
      <w:r>
        <w:rPr>
          <w:noProof/>
          <w:lang w:eastAsia="tr-TR"/>
        </w:rPr>
        <mc:AlternateContent>
          <mc:Choice Requires="wps">
            <w:drawing>
              <wp:anchor distT="0" distB="0" distL="114300" distR="114300" simplePos="0" relativeHeight="251660288" behindDoc="0" locked="0" layoutInCell="1" allowOverlap="1">
                <wp:simplePos x="0" y="0"/>
                <wp:positionH relativeFrom="column">
                  <wp:posOffset>2701290</wp:posOffset>
                </wp:positionH>
                <wp:positionV relativeFrom="paragraph">
                  <wp:posOffset>1049688</wp:posOffset>
                </wp:positionV>
                <wp:extent cx="666750" cy="242684"/>
                <wp:effectExtent l="0" t="0" r="19050" b="24130"/>
                <wp:wrapNone/>
                <wp:docPr id="10" name="Metin Kutusu 10"/>
                <wp:cNvGraphicFramePr/>
                <a:graphic xmlns:a="http://schemas.openxmlformats.org/drawingml/2006/main">
                  <a:graphicData uri="http://schemas.microsoft.com/office/word/2010/wordprocessingShape">
                    <wps:wsp>
                      <wps:cNvSpPr txBox="1"/>
                      <wps:spPr>
                        <a:xfrm>
                          <a:off x="0" y="0"/>
                          <a:ext cx="666750" cy="242684"/>
                        </a:xfrm>
                        <a:prstGeom prst="rect">
                          <a:avLst/>
                        </a:prstGeom>
                        <a:solidFill>
                          <a:schemeClr val="bg1">
                            <a:lumMod val="75000"/>
                          </a:schemeClr>
                        </a:solid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81C9E" w:rsidRPr="00281C9E" w:rsidRDefault="00281C9E">
                            <w:pPr>
                              <w:rPr>
                                <w:rFonts w:cstheme="minorHAnsi"/>
                                <w:b/>
                                <w:sz w:val="16"/>
                                <w:szCs w:val="14"/>
                              </w:rPr>
                            </w:pPr>
                            <w:r w:rsidRPr="00281C9E">
                              <w:rPr>
                                <w:rFonts w:cstheme="minorHAnsi"/>
                                <w:b/>
                                <w:sz w:val="16"/>
                                <w:szCs w:val="14"/>
                              </w:rPr>
                              <w:t>(103 saat)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0" o:spid="_x0000_s1026" type="#_x0000_t202" style="position:absolute;margin-left:212.7pt;margin-top:82.65pt;width:52.5pt;height:1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" fillcolor="#bfbfbf [2412]" strokecolor="#bfbfbf [2412]" strokeweight=".5pt">
                <v:textbox>
                  <w:txbxContent>
                    <w:p w:rsidR="00281C9E" w:rsidRPr="00281C9E" w:rsidRDefault="00281C9E">
                      <w:pPr>
                        <w:rPr>
                          <w:rFonts w:cstheme="minorHAnsi"/>
                          <w:b/>
                          <w:sz w:val="16"/>
                          <w:szCs w:val="14"/>
                        </w:rPr>
                      </w:pPr>
                      <w:r w:rsidRPr="00281C9E">
                        <w:rPr>
                          <w:rFonts w:cstheme="minorHAnsi"/>
                          <w:b/>
                          <w:sz w:val="16"/>
                          <w:szCs w:val="14"/>
                        </w:rPr>
                        <w:t>(103 saat)</w:t>
                      </w:r>
                    </w:p>
                  </w:txbxContent>
                </v:textbox>
              </v:shape>
            </w:pict>
          </mc:Fallback>
        </mc:AlternateContent>
      </w:r>
      <w:r w:rsidR="00535099">
        <w:rPr>
          <w:noProof/>
          <w:sz w:val="20"/>
          <w:lang w:eastAsia="tr-TR"/>
        </w:rPr>
        <w:drawing>
          <wp:inline distT="0" distB="0" distL="0" distR="0" wp14:anchorId="3E259E55" wp14:editId="4437E618">
            <wp:extent cx="6524625" cy="283942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B.JPG"/>
                    <pic:cNvPicPr/>
                  </pic:nvPicPr>
                  <pic:blipFill>
                    <a:blip r:embed="rId7">
                      <a:extLst>
                        <a:ext uri="{28A0092B-C50C-407E-A947-70E740481C1C}">
                          <a14:useLocalDpi xmlns:a14="http://schemas.microsoft.com/office/drawing/2010/main" val="0"/>
                        </a:ext>
                      </a:extLst>
                    </a:blip>
                    <a:stretch>
                      <a:fillRect/>
                    </a:stretch>
                  </pic:blipFill>
                  <pic:spPr>
                    <a:xfrm>
                      <a:off x="0" y="0"/>
                      <a:ext cx="6524625" cy="2839420"/>
                    </a:xfrm>
                    <a:prstGeom prst="rect">
                      <a:avLst/>
                    </a:prstGeom>
                  </pic:spPr>
                </pic:pic>
              </a:graphicData>
            </a:graphic>
          </wp:inline>
        </w:drawing>
      </w:r>
    </w:p>
    <w:p w:rsidR="004C0F26" w:rsidRPr="00573696" w:rsidRDefault="004C0F26" w:rsidP="004C0F26">
      <w:pPr>
        <w:rPr>
          <w:rFonts w:ascii="Tahoma" w:hAnsi="Tahoma" w:cs="Tahoma"/>
          <w:b/>
          <w:sz w:val="20"/>
        </w:rPr>
      </w:pPr>
      <w:r w:rsidRPr="00573696">
        <w:rPr>
          <w:rFonts w:ascii="Tahoma" w:hAnsi="Tahoma" w:cs="Tahoma"/>
          <w:b/>
          <w:sz w:val="20"/>
        </w:rPr>
        <w:t>Buna göre:</w:t>
      </w:r>
    </w:p>
    <w:p w:rsidR="004C0F26" w:rsidRPr="00573696" w:rsidRDefault="004C0F26" w:rsidP="004C0F26">
      <w:pPr>
        <w:rPr>
          <w:rFonts w:ascii="Tahoma" w:hAnsi="Tahoma" w:cs="Tahoma"/>
          <w:sz w:val="20"/>
        </w:rPr>
      </w:pPr>
      <w:r w:rsidRPr="00573696">
        <w:rPr>
          <w:rFonts w:ascii="Tahoma" w:hAnsi="Tahoma" w:cs="Tahoma"/>
          <w:sz w:val="20"/>
        </w:rPr>
        <w:t xml:space="preserve">1. Uluslararası Kaynak Mühendisliği veya Uluslararası Kaynak Teknikerliği (IWE veya IWT) diplomasına sahip olan adaylar doğrudan kaynak muayenesi (WI III) </w:t>
      </w:r>
      <w:proofErr w:type="gramStart"/>
      <w:r w:rsidRPr="00573696">
        <w:rPr>
          <w:rFonts w:ascii="Tahoma" w:hAnsi="Tahoma" w:cs="Tahoma"/>
          <w:sz w:val="20"/>
        </w:rPr>
        <w:t>modülü</w:t>
      </w:r>
      <w:proofErr w:type="gramEnd"/>
      <w:r w:rsidRPr="00573696">
        <w:rPr>
          <w:rFonts w:ascii="Tahoma" w:hAnsi="Tahoma" w:cs="Tahoma"/>
          <w:sz w:val="20"/>
        </w:rPr>
        <w:t xml:space="preserve"> derslerini alacak ve eğitimin tamamlanmasının ardından sınavlara katılacaklardır - Yol (A),</w:t>
      </w:r>
    </w:p>
    <w:p w:rsidR="00535099" w:rsidRPr="00573696" w:rsidRDefault="004C0F26" w:rsidP="004C0F26">
      <w:pPr>
        <w:rPr>
          <w:rFonts w:ascii="Tahoma" w:hAnsi="Tahoma" w:cs="Tahoma"/>
          <w:sz w:val="20"/>
        </w:rPr>
      </w:pPr>
      <w:r w:rsidRPr="00573696">
        <w:rPr>
          <w:rFonts w:ascii="Tahoma" w:hAnsi="Tahoma" w:cs="Tahoma"/>
          <w:sz w:val="20"/>
        </w:rPr>
        <w:t>2. Uluslararası Kaynak Mühendisliği veya Uluslararası Kaynak Teknikerliği (IWE veya IWT) programlarına katılım koşullarını sağlayan adaylar ise, bir ara sınava alınacaktır. Aday ara sınav sonrasında bitirme sınavına girebilecektir – Yol (B).</w:t>
      </w:r>
      <w:r w:rsidRPr="00573696">
        <w:rPr>
          <w:rFonts w:ascii="Tahoma" w:hAnsi="Tahoma" w:cs="Tahoma"/>
          <w:sz w:val="20"/>
        </w:rPr>
        <w:cr/>
      </w:r>
    </w:p>
    <w:p w:rsidR="00430475" w:rsidRPr="00573696" w:rsidRDefault="00430475" w:rsidP="004C0F26">
      <w:pPr>
        <w:rPr>
          <w:rFonts w:ascii="Tahoma" w:hAnsi="Tahoma" w:cs="Tahoma"/>
          <w:sz w:val="20"/>
        </w:rPr>
      </w:pPr>
    </w:p>
    <w:p w:rsidR="00430475" w:rsidRPr="00573696" w:rsidRDefault="00430475" w:rsidP="00430475">
      <w:pPr>
        <w:rPr>
          <w:rFonts w:ascii="Tahoma" w:hAnsi="Tahoma" w:cs="Tahoma"/>
          <w:sz w:val="20"/>
        </w:rPr>
      </w:pPr>
      <w:r w:rsidRPr="00573696">
        <w:rPr>
          <w:rFonts w:ascii="Tahoma" w:hAnsi="Tahoma" w:cs="Tahoma"/>
          <w:sz w:val="20"/>
        </w:rPr>
        <w:lastRenderedPageBreak/>
        <w:t>IWE / IWT eğitimlerine katılım koşulları, Uluslararası Kay</w:t>
      </w:r>
      <w:r w:rsidR="004048DC">
        <w:rPr>
          <w:rFonts w:ascii="Tahoma" w:hAnsi="Tahoma" w:cs="Tahoma"/>
          <w:sz w:val="20"/>
        </w:rPr>
        <w:t xml:space="preserve">nak Enstitüsünün (IIW), IAB-020 </w:t>
      </w:r>
      <w:r w:rsidRPr="00573696">
        <w:rPr>
          <w:rFonts w:ascii="Tahoma" w:hAnsi="Tahoma" w:cs="Tahoma"/>
          <w:sz w:val="20"/>
        </w:rPr>
        <w:t>numaralı dokümanında Türkiye için şu şekilde tanımlanmaktadır:</w:t>
      </w:r>
    </w:p>
    <w:p w:rsidR="00430475" w:rsidRPr="00573696" w:rsidRDefault="00430475" w:rsidP="00430475">
      <w:pPr>
        <w:rPr>
          <w:rFonts w:ascii="Tahoma" w:hAnsi="Tahoma" w:cs="Tahoma"/>
          <w:sz w:val="20"/>
        </w:rPr>
      </w:pPr>
      <w:proofErr w:type="gramStart"/>
      <w:r w:rsidRPr="00573696">
        <w:rPr>
          <w:rFonts w:ascii="Tahoma" w:hAnsi="Tahoma" w:cs="Tahoma"/>
          <w:sz w:val="20"/>
        </w:rPr>
        <w:t>a</w:t>
      </w:r>
      <w:proofErr w:type="gramEnd"/>
      <w:r w:rsidRPr="00573696">
        <w:rPr>
          <w:rFonts w:ascii="Tahoma" w:hAnsi="Tahoma" w:cs="Tahoma"/>
          <w:sz w:val="20"/>
        </w:rPr>
        <w:t>. Üniversitelerin mühendislik fakültelerinden alınmış “mühendislik” (en az 4 yıllık eğitim) diplomasına sahip olanlar, b. Teknik eğitim fakültelerinin (en az 4 yıllık eğitim); metal, metalürji ve makine teknolojileri bölümlerinden alınmış “teknik öğretmen” diplomasına sahip olanlar.</w:t>
      </w:r>
    </w:p>
    <w:p w:rsidR="00430475" w:rsidRPr="00573696" w:rsidRDefault="00430475" w:rsidP="00430475">
      <w:pPr>
        <w:rPr>
          <w:rFonts w:ascii="Tahoma" w:hAnsi="Tahoma" w:cs="Tahoma"/>
          <w:sz w:val="20"/>
        </w:rPr>
      </w:pPr>
      <w:r w:rsidRPr="00573696">
        <w:rPr>
          <w:rFonts w:ascii="Tahoma" w:hAnsi="Tahoma" w:cs="Tahoma"/>
          <w:b/>
          <w:sz w:val="20"/>
        </w:rPr>
        <w:t>GSI SLV-TR</w:t>
      </w:r>
      <w:r w:rsidRPr="00573696">
        <w:rPr>
          <w:rFonts w:ascii="Tahoma" w:hAnsi="Tahoma" w:cs="Tahoma"/>
          <w:sz w:val="20"/>
        </w:rPr>
        <w:t xml:space="preserve"> eğitimlerinde, zamanın verimli kullanılması amacıyla yalnızca Kaynak Muayene Modülü (WI III) açılacaktır. Bu eğitimlere yukarıda belirtilen şartları sağlayan adaylar katılabileceklerdir.</w:t>
      </w:r>
      <w:r w:rsidRPr="00573696">
        <w:rPr>
          <w:rFonts w:ascii="Tahoma" w:hAnsi="Tahoma" w:cs="Tahoma"/>
          <w:sz w:val="20"/>
        </w:rPr>
        <w:cr/>
      </w:r>
    </w:p>
    <w:p w:rsidR="009B5DFE" w:rsidRDefault="009B5DFE" w:rsidP="00430475">
      <w:pPr>
        <w:rPr>
          <w:sz w:val="20"/>
        </w:rPr>
      </w:pPr>
      <w:r>
        <w:rPr>
          <w:noProof/>
          <w:sz w:val="20"/>
          <w:lang w:eastAsia="tr-TR"/>
        </w:rPr>
        <w:drawing>
          <wp:inline distT="0" distB="0" distL="0" distR="0">
            <wp:extent cx="5760720" cy="1995805"/>
            <wp:effectExtent l="0" t="0" r="0" b="444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F.JPG"/>
                    <pic:cNvPicPr/>
                  </pic:nvPicPr>
                  <pic:blipFill>
                    <a:blip r:embed="rId8">
                      <a:extLst>
                        <a:ext uri="{28A0092B-C50C-407E-A947-70E740481C1C}">
                          <a14:useLocalDpi xmlns:a14="http://schemas.microsoft.com/office/drawing/2010/main" val="0"/>
                        </a:ext>
                      </a:extLst>
                    </a:blip>
                    <a:stretch>
                      <a:fillRect/>
                    </a:stretch>
                  </pic:blipFill>
                  <pic:spPr>
                    <a:xfrm>
                      <a:off x="0" y="0"/>
                      <a:ext cx="5760720" cy="1995805"/>
                    </a:xfrm>
                    <a:prstGeom prst="rect">
                      <a:avLst/>
                    </a:prstGeom>
                  </pic:spPr>
                </pic:pic>
              </a:graphicData>
            </a:graphic>
          </wp:inline>
        </w:drawing>
      </w:r>
    </w:p>
    <w:p w:rsidR="009B5DFE" w:rsidRPr="00573696" w:rsidRDefault="009B5DFE" w:rsidP="009B5DFE">
      <w:pPr>
        <w:rPr>
          <w:rFonts w:ascii="Tahoma" w:hAnsi="Tahoma" w:cs="Tahoma"/>
          <w:b/>
          <w:sz w:val="20"/>
          <w:szCs w:val="20"/>
        </w:rPr>
      </w:pPr>
      <w:r w:rsidRPr="00573696">
        <w:rPr>
          <w:rFonts w:ascii="Tahoma" w:hAnsi="Tahoma" w:cs="Tahoma"/>
          <w:b/>
          <w:sz w:val="20"/>
          <w:szCs w:val="20"/>
        </w:rPr>
        <w:t>Belgelendirme:</w:t>
      </w:r>
    </w:p>
    <w:p w:rsidR="009B5DFE" w:rsidRPr="00573696" w:rsidRDefault="009B5DFE" w:rsidP="009B5DFE">
      <w:pPr>
        <w:rPr>
          <w:rFonts w:ascii="Tahoma" w:hAnsi="Tahoma" w:cs="Tahoma"/>
          <w:sz w:val="20"/>
          <w:szCs w:val="20"/>
        </w:rPr>
      </w:pPr>
      <w:r w:rsidRPr="00573696">
        <w:rPr>
          <w:rFonts w:ascii="Tahoma" w:hAnsi="Tahoma" w:cs="Tahoma"/>
          <w:sz w:val="20"/>
          <w:szCs w:val="20"/>
        </w:rPr>
        <w:t>Sınavlar sonunda başarılı olanlar uluslararası geçerlilikte diploma almaya hak kazanacaktır.</w:t>
      </w:r>
    </w:p>
    <w:p w:rsidR="009B5DFE" w:rsidRPr="00573696" w:rsidRDefault="009B5DFE" w:rsidP="009B5DFE">
      <w:pPr>
        <w:rPr>
          <w:rFonts w:ascii="Tahoma" w:hAnsi="Tahoma" w:cs="Tahoma"/>
          <w:b/>
          <w:sz w:val="20"/>
          <w:szCs w:val="20"/>
        </w:rPr>
      </w:pPr>
      <w:r w:rsidRPr="00573696">
        <w:rPr>
          <w:rFonts w:ascii="Tahoma" w:hAnsi="Tahoma" w:cs="Tahoma"/>
          <w:b/>
          <w:sz w:val="20"/>
          <w:szCs w:val="20"/>
        </w:rPr>
        <w:t>Eğitim ve sınav tarihleri:</w:t>
      </w:r>
    </w:p>
    <w:p w:rsidR="009B5DFE" w:rsidRPr="00573696" w:rsidRDefault="009B5DFE" w:rsidP="009B5DFE">
      <w:pPr>
        <w:rPr>
          <w:rFonts w:ascii="Tahoma" w:hAnsi="Tahoma" w:cs="Tahoma"/>
          <w:sz w:val="20"/>
          <w:szCs w:val="20"/>
        </w:rPr>
      </w:pPr>
      <w:r w:rsidRPr="00573696">
        <w:rPr>
          <w:rFonts w:ascii="Tahoma" w:hAnsi="Tahoma" w:cs="Tahoma"/>
          <w:sz w:val="20"/>
          <w:szCs w:val="20"/>
        </w:rPr>
        <w:t xml:space="preserve">Diğer eğitimlerimizde olduğu gibi bu alandaki dersler de </w:t>
      </w:r>
      <w:r w:rsidRPr="00573696">
        <w:rPr>
          <w:rFonts w:ascii="Tahoma" w:hAnsi="Tahoma" w:cs="Tahoma"/>
          <w:b/>
          <w:sz w:val="20"/>
          <w:szCs w:val="20"/>
        </w:rPr>
        <w:t>GSI SLV-TR</w:t>
      </w:r>
      <w:r w:rsidR="0020036A">
        <w:rPr>
          <w:rFonts w:ascii="Tahoma" w:hAnsi="Tahoma" w:cs="Tahoma"/>
          <w:sz w:val="20"/>
          <w:szCs w:val="20"/>
        </w:rPr>
        <w:t>’</w:t>
      </w:r>
      <w:r w:rsidRPr="00573696">
        <w:rPr>
          <w:rFonts w:ascii="Tahoma" w:hAnsi="Tahoma" w:cs="Tahoma"/>
          <w:sz w:val="20"/>
          <w:szCs w:val="20"/>
        </w:rPr>
        <w:t xml:space="preserve">nin alanında </w:t>
      </w:r>
      <w:r w:rsidRPr="00573696">
        <w:rPr>
          <w:rFonts w:ascii="Tahoma" w:hAnsi="Tahoma" w:cs="Tahoma"/>
          <w:b/>
          <w:sz w:val="20"/>
          <w:szCs w:val="20"/>
        </w:rPr>
        <w:t>uzmanlaşmış, deneyimli</w:t>
      </w:r>
      <w:r w:rsidRPr="00573696">
        <w:rPr>
          <w:rFonts w:ascii="Tahoma" w:hAnsi="Tahoma" w:cs="Tahoma"/>
          <w:sz w:val="20"/>
          <w:szCs w:val="20"/>
        </w:rPr>
        <w:t xml:space="preserve"> kadroları tarafından verilmektedir.</w:t>
      </w:r>
    </w:p>
    <w:p w:rsidR="009B5DFE" w:rsidRPr="00573696" w:rsidRDefault="009B5DFE" w:rsidP="009B5DFE">
      <w:pPr>
        <w:rPr>
          <w:rFonts w:ascii="Tahoma" w:hAnsi="Tahoma" w:cs="Tahoma"/>
          <w:sz w:val="20"/>
          <w:szCs w:val="20"/>
        </w:rPr>
      </w:pPr>
      <w:r w:rsidRPr="00573696">
        <w:rPr>
          <w:rFonts w:ascii="Tahoma" w:hAnsi="Tahoma" w:cs="Tahoma"/>
          <w:sz w:val="20"/>
          <w:szCs w:val="20"/>
        </w:rPr>
        <w:t xml:space="preserve">Eğitim tarihlerimize ve fiyatlara </w:t>
      </w:r>
      <w:hyperlink r:id="rId9" w:history="1">
        <w:r w:rsidRPr="00573696">
          <w:rPr>
            <w:rStyle w:val="Kpr"/>
            <w:rFonts w:ascii="Tahoma" w:hAnsi="Tahoma" w:cs="Tahoma"/>
            <w:sz w:val="20"/>
            <w:szCs w:val="20"/>
          </w:rPr>
          <w:t>www.gsi.com.tr</w:t>
        </w:r>
      </w:hyperlink>
      <w:r w:rsidRPr="00573696">
        <w:rPr>
          <w:rFonts w:ascii="Tahoma" w:hAnsi="Tahoma" w:cs="Tahoma"/>
          <w:sz w:val="20"/>
          <w:szCs w:val="20"/>
        </w:rPr>
        <w:t xml:space="preserve"> web sitemizden ulaşılabilir.</w:t>
      </w:r>
    </w:p>
    <w:p w:rsidR="009B5DFE" w:rsidRPr="00573696" w:rsidRDefault="009B5DFE" w:rsidP="009B5DFE">
      <w:pPr>
        <w:rPr>
          <w:rFonts w:ascii="Tahoma" w:hAnsi="Tahoma" w:cs="Tahoma"/>
          <w:b/>
          <w:sz w:val="20"/>
          <w:szCs w:val="20"/>
        </w:rPr>
      </w:pPr>
      <w:r w:rsidRPr="00573696">
        <w:rPr>
          <w:rFonts w:ascii="Tahoma" w:hAnsi="Tahoma" w:cs="Tahoma"/>
          <w:b/>
          <w:sz w:val="20"/>
          <w:szCs w:val="20"/>
        </w:rPr>
        <w:t>Genel Bilgilendirme:</w:t>
      </w:r>
    </w:p>
    <w:p w:rsidR="009B5DFE" w:rsidRPr="00573696" w:rsidRDefault="009B5DFE" w:rsidP="00801396">
      <w:pPr>
        <w:spacing w:line="360" w:lineRule="auto"/>
        <w:rPr>
          <w:rFonts w:ascii="Tahoma" w:hAnsi="Tahoma" w:cs="Tahoma"/>
          <w:sz w:val="20"/>
          <w:szCs w:val="20"/>
        </w:rPr>
      </w:pPr>
      <w:r w:rsidRPr="00573696">
        <w:rPr>
          <w:rFonts w:ascii="Tahoma" w:hAnsi="Tahoma" w:cs="Tahoma"/>
          <w:sz w:val="20"/>
          <w:szCs w:val="20"/>
        </w:rPr>
        <w:t>Uluslararası Ka</w:t>
      </w:r>
      <w:r w:rsidR="004048DC">
        <w:rPr>
          <w:rFonts w:ascii="Tahoma" w:hAnsi="Tahoma" w:cs="Tahoma"/>
          <w:sz w:val="20"/>
          <w:szCs w:val="20"/>
        </w:rPr>
        <w:t>ynak Enstitüsü’ nün IAB-041</w:t>
      </w:r>
      <w:r w:rsidRPr="00573696">
        <w:rPr>
          <w:rFonts w:ascii="Tahoma" w:hAnsi="Tahoma" w:cs="Tahoma"/>
          <w:sz w:val="20"/>
          <w:szCs w:val="20"/>
        </w:rPr>
        <w:t xml:space="preserve"> numaralı yönetmeliğine göre düzenlenip yürütülmekte olan bu eğitim sonucunda katılımcıların kazanacakları yetenekler, ilgili yönetmelikte aşağıdaki gibi tanımlanmıştır:</w:t>
      </w:r>
    </w:p>
    <w:p w:rsidR="009B5DFE" w:rsidRPr="00573696" w:rsidRDefault="009B5DFE" w:rsidP="00801396">
      <w:pPr>
        <w:spacing w:line="360" w:lineRule="auto"/>
        <w:rPr>
          <w:rFonts w:ascii="Tahoma" w:hAnsi="Tahoma" w:cs="Tahoma"/>
          <w:sz w:val="20"/>
          <w:szCs w:val="20"/>
        </w:rPr>
      </w:pPr>
      <w:r w:rsidRPr="00573696">
        <w:rPr>
          <w:rFonts w:ascii="Tahoma" w:hAnsi="Tahoma" w:cs="Tahoma"/>
          <w:sz w:val="20"/>
          <w:szCs w:val="20"/>
        </w:rPr>
        <w:t>IWI-C “</w:t>
      </w:r>
      <w:r w:rsidRPr="00573696">
        <w:rPr>
          <w:rFonts w:ascii="Tahoma" w:hAnsi="Tahoma" w:cs="Tahoma"/>
          <w:b/>
          <w:sz w:val="20"/>
          <w:szCs w:val="20"/>
        </w:rPr>
        <w:t xml:space="preserve">Uluslararası kaynak </w:t>
      </w:r>
      <w:proofErr w:type="spellStart"/>
      <w:r w:rsidRPr="00573696">
        <w:rPr>
          <w:rFonts w:ascii="Tahoma" w:hAnsi="Tahoma" w:cs="Tahoma"/>
          <w:b/>
          <w:sz w:val="20"/>
          <w:szCs w:val="20"/>
        </w:rPr>
        <w:t>enspektörlüğü</w:t>
      </w:r>
      <w:proofErr w:type="spellEnd"/>
      <w:r w:rsidRPr="00573696">
        <w:rPr>
          <w:rFonts w:ascii="Tahoma" w:hAnsi="Tahoma" w:cs="Tahoma"/>
          <w:b/>
          <w:sz w:val="20"/>
          <w:szCs w:val="20"/>
        </w:rPr>
        <w:t xml:space="preserve"> - kapsamlı</w:t>
      </w:r>
      <w:r w:rsidRPr="00573696">
        <w:rPr>
          <w:rFonts w:ascii="Tahoma" w:hAnsi="Tahoma" w:cs="Tahoma"/>
          <w:sz w:val="20"/>
          <w:szCs w:val="20"/>
        </w:rPr>
        <w:t xml:space="preserve">” eğitim programını tamamlayan adaylar kaynak ve muayene konularında </w:t>
      </w:r>
      <w:r w:rsidRPr="00573696">
        <w:rPr>
          <w:rFonts w:ascii="Tahoma" w:hAnsi="Tahoma" w:cs="Tahoma"/>
          <w:b/>
          <w:sz w:val="20"/>
          <w:szCs w:val="20"/>
        </w:rPr>
        <w:t xml:space="preserve">özel düzeyde teori ve uygulama eğitimi </w:t>
      </w:r>
      <w:r w:rsidRPr="00573696">
        <w:rPr>
          <w:rFonts w:ascii="Tahoma" w:hAnsi="Tahoma" w:cs="Tahoma"/>
          <w:sz w:val="20"/>
          <w:szCs w:val="20"/>
        </w:rPr>
        <w:t>almış olacaklardır. Bu eğitim; adayların aşağıdaki alanları anlayıp etkili bir şekilde uygulayabilmelerine olanak sağlayacaktır:</w:t>
      </w:r>
    </w:p>
    <w:p w:rsidR="009B5DFE" w:rsidRPr="00573696" w:rsidRDefault="009B5DFE" w:rsidP="00801396">
      <w:pPr>
        <w:pStyle w:val="ListeParagraf"/>
        <w:numPr>
          <w:ilvl w:val="0"/>
          <w:numId w:val="4"/>
        </w:numPr>
        <w:spacing w:line="360" w:lineRule="auto"/>
        <w:rPr>
          <w:rFonts w:ascii="Tahoma" w:hAnsi="Tahoma" w:cs="Tahoma"/>
          <w:sz w:val="20"/>
          <w:szCs w:val="20"/>
        </w:rPr>
      </w:pPr>
      <w:r w:rsidRPr="00573696">
        <w:rPr>
          <w:rFonts w:ascii="Tahoma" w:hAnsi="Tahoma" w:cs="Tahoma"/>
          <w:sz w:val="20"/>
          <w:szCs w:val="20"/>
        </w:rPr>
        <w:t>Tahribatsız testler, mekanik testler ve gözle muayene teknikleri</w:t>
      </w:r>
    </w:p>
    <w:p w:rsidR="009B5DFE" w:rsidRPr="00573696" w:rsidRDefault="009B5DFE" w:rsidP="00801396">
      <w:pPr>
        <w:pStyle w:val="ListeParagraf"/>
        <w:numPr>
          <w:ilvl w:val="0"/>
          <w:numId w:val="4"/>
        </w:numPr>
        <w:spacing w:line="360" w:lineRule="auto"/>
        <w:rPr>
          <w:rFonts w:ascii="Tahoma" w:hAnsi="Tahoma" w:cs="Tahoma"/>
          <w:sz w:val="20"/>
          <w:szCs w:val="20"/>
        </w:rPr>
      </w:pPr>
      <w:r w:rsidRPr="00573696">
        <w:rPr>
          <w:rFonts w:ascii="Tahoma" w:hAnsi="Tahoma" w:cs="Tahoma"/>
          <w:sz w:val="20"/>
          <w:szCs w:val="20"/>
        </w:rPr>
        <w:t>Kaynak talimatlarının (WPS), onaylı kaynak yöntem testlerinin incelenmesi ve uygulanması</w:t>
      </w:r>
    </w:p>
    <w:p w:rsidR="009B5DFE" w:rsidRPr="00573696" w:rsidRDefault="004048DC" w:rsidP="004048DC">
      <w:pPr>
        <w:pStyle w:val="ListeParagraf"/>
        <w:numPr>
          <w:ilvl w:val="0"/>
          <w:numId w:val="6"/>
        </w:numPr>
        <w:spacing w:line="480" w:lineRule="auto"/>
        <w:rPr>
          <w:rFonts w:ascii="Tahoma" w:hAnsi="Tahoma" w:cs="Tahoma"/>
          <w:sz w:val="20"/>
          <w:szCs w:val="20"/>
        </w:rPr>
      </w:pPr>
      <w:r>
        <w:rPr>
          <w:rFonts w:ascii="Tahoma" w:hAnsi="Tahoma" w:cs="Tahoma"/>
          <w:sz w:val="20"/>
          <w:szCs w:val="20"/>
        </w:rPr>
        <w:lastRenderedPageBreak/>
        <w:t>Malzeme şartnameleri</w:t>
      </w:r>
    </w:p>
    <w:p w:rsidR="006922D1" w:rsidRPr="00573696" w:rsidRDefault="006922D1" w:rsidP="004048DC">
      <w:pPr>
        <w:pStyle w:val="ListeParagraf"/>
        <w:numPr>
          <w:ilvl w:val="0"/>
          <w:numId w:val="6"/>
        </w:numPr>
        <w:spacing w:line="480" w:lineRule="auto"/>
        <w:rPr>
          <w:rFonts w:ascii="Tahoma" w:hAnsi="Tahoma" w:cs="Tahoma"/>
          <w:sz w:val="20"/>
          <w:szCs w:val="20"/>
        </w:rPr>
      </w:pPr>
      <w:r w:rsidRPr="00573696">
        <w:rPr>
          <w:rFonts w:ascii="Tahoma" w:hAnsi="Tahoma" w:cs="Tahoma"/>
          <w:sz w:val="20"/>
          <w:szCs w:val="20"/>
        </w:rPr>
        <w:t>Sarf malzemelerin şartnameleri</w:t>
      </w:r>
    </w:p>
    <w:p w:rsidR="006922D1" w:rsidRPr="00573696" w:rsidRDefault="006922D1" w:rsidP="006922D1">
      <w:pPr>
        <w:pStyle w:val="ListeParagraf"/>
        <w:numPr>
          <w:ilvl w:val="0"/>
          <w:numId w:val="6"/>
        </w:numPr>
        <w:spacing w:line="480" w:lineRule="auto"/>
        <w:rPr>
          <w:rFonts w:ascii="Tahoma" w:hAnsi="Tahoma" w:cs="Tahoma"/>
          <w:sz w:val="20"/>
          <w:szCs w:val="20"/>
        </w:rPr>
      </w:pPr>
      <w:r w:rsidRPr="00573696">
        <w:rPr>
          <w:rFonts w:ascii="Tahoma" w:hAnsi="Tahoma" w:cs="Tahoma"/>
          <w:sz w:val="20"/>
          <w:szCs w:val="20"/>
        </w:rPr>
        <w:t>Mühendislik çizimleri, bağlantı detayları ve işçilik toleransları</w:t>
      </w:r>
    </w:p>
    <w:p w:rsidR="006922D1" w:rsidRPr="00573696" w:rsidRDefault="006922D1" w:rsidP="006922D1">
      <w:pPr>
        <w:pStyle w:val="ListeParagraf"/>
        <w:numPr>
          <w:ilvl w:val="0"/>
          <w:numId w:val="6"/>
        </w:numPr>
        <w:spacing w:line="480" w:lineRule="auto"/>
        <w:rPr>
          <w:rFonts w:ascii="Tahoma" w:hAnsi="Tahoma" w:cs="Tahoma"/>
          <w:sz w:val="20"/>
          <w:szCs w:val="20"/>
        </w:rPr>
      </w:pPr>
      <w:r w:rsidRPr="00573696">
        <w:rPr>
          <w:rFonts w:ascii="Tahoma" w:hAnsi="Tahoma" w:cs="Tahoma"/>
          <w:sz w:val="20"/>
          <w:szCs w:val="20"/>
        </w:rPr>
        <w:t>Kaynak talimatlarının (WPS) hazırlanması ve uygulanması</w:t>
      </w:r>
    </w:p>
    <w:p w:rsidR="006922D1" w:rsidRPr="00573696" w:rsidRDefault="006922D1" w:rsidP="006922D1">
      <w:pPr>
        <w:pStyle w:val="ListeParagraf"/>
        <w:numPr>
          <w:ilvl w:val="0"/>
          <w:numId w:val="6"/>
        </w:numPr>
        <w:spacing w:line="480" w:lineRule="auto"/>
        <w:rPr>
          <w:rFonts w:ascii="Tahoma" w:hAnsi="Tahoma" w:cs="Tahoma"/>
          <w:sz w:val="20"/>
          <w:szCs w:val="20"/>
        </w:rPr>
      </w:pPr>
      <w:r w:rsidRPr="00573696">
        <w:rPr>
          <w:rFonts w:ascii="Tahoma" w:hAnsi="Tahoma" w:cs="Tahoma"/>
          <w:sz w:val="20"/>
          <w:szCs w:val="20"/>
        </w:rPr>
        <w:t xml:space="preserve">Muayene </w:t>
      </w:r>
      <w:proofErr w:type="gramStart"/>
      <w:r w:rsidRPr="00573696">
        <w:rPr>
          <w:rFonts w:ascii="Tahoma" w:hAnsi="Tahoma" w:cs="Tahoma"/>
          <w:sz w:val="20"/>
          <w:szCs w:val="20"/>
        </w:rPr>
        <w:t>prosedürlerinin</w:t>
      </w:r>
      <w:proofErr w:type="gramEnd"/>
      <w:r w:rsidRPr="00573696">
        <w:rPr>
          <w:rFonts w:ascii="Tahoma" w:hAnsi="Tahoma" w:cs="Tahoma"/>
          <w:sz w:val="20"/>
          <w:szCs w:val="20"/>
        </w:rPr>
        <w:t xml:space="preserve"> hazırlanması, uygulamaya alınması ve kabul kriterleri</w:t>
      </w:r>
    </w:p>
    <w:p w:rsidR="006922D1" w:rsidRPr="00573696" w:rsidRDefault="006922D1" w:rsidP="006922D1">
      <w:pPr>
        <w:pStyle w:val="ListeParagraf"/>
        <w:numPr>
          <w:ilvl w:val="0"/>
          <w:numId w:val="6"/>
        </w:numPr>
        <w:spacing w:line="480" w:lineRule="auto"/>
        <w:rPr>
          <w:rFonts w:ascii="Tahoma" w:hAnsi="Tahoma" w:cs="Tahoma"/>
          <w:sz w:val="20"/>
          <w:szCs w:val="20"/>
        </w:rPr>
      </w:pPr>
      <w:r w:rsidRPr="00573696">
        <w:rPr>
          <w:rFonts w:ascii="Tahoma" w:hAnsi="Tahoma" w:cs="Tahoma"/>
          <w:sz w:val="20"/>
          <w:szCs w:val="20"/>
        </w:rPr>
        <w:t>Kalite Kontrol programları</w:t>
      </w:r>
    </w:p>
    <w:p w:rsidR="006922D1" w:rsidRPr="00573696" w:rsidRDefault="006922D1" w:rsidP="006922D1">
      <w:pPr>
        <w:pStyle w:val="ListeParagraf"/>
        <w:numPr>
          <w:ilvl w:val="0"/>
          <w:numId w:val="6"/>
        </w:numPr>
        <w:spacing w:line="480" w:lineRule="auto"/>
        <w:rPr>
          <w:rFonts w:ascii="Tahoma" w:hAnsi="Tahoma" w:cs="Tahoma"/>
          <w:sz w:val="20"/>
          <w:szCs w:val="20"/>
        </w:rPr>
      </w:pPr>
      <w:r w:rsidRPr="00573696">
        <w:rPr>
          <w:rFonts w:ascii="Tahoma" w:hAnsi="Tahoma" w:cs="Tahoma"/>
          <w:sz w:val="20"/>
          <w:szCs w:val="20"/>
        </w:rPr>
        <w:t xml:space="preserve">Kaynak </w:t>
      </w:r>
      <w:proofErr w:type="gramStart"/>
      <w:r w:rsidRPr="00573696">
        <w:rPr>
          <w:rFonts w:ascii="Tahoma" w:hAnsi="Tahoma" w:cs="Tahoma"/>
          <w:sz w:val="20"/>
          <w:szCs w:val="20"/>
        </w:rPr>
        <w:t>ekipmanı</w:t>
      </w:r>
      <w:proofErr w:type="gramEnd"/>
      <w:r w:rsidRPr="00573696">
        <w:rPr>
          <w:rFonts w:ascii="Tahoma" w:hAnsi="Tahoma" w:cs="Tahoma"/>
          <w:sz w:val="20"/>
          <w:szCs w:val="20"/>
        </w:rPr>
        <w:t xml:space="preserve"> işlevleri ve uygulamalar/kısıtlar</w:t>
      </w:r>
    </w:p>
    <w:p w:rsidR="006922D1" w:rsidRPr="00573696" w:rsidRDefault="006922D1" w:rsidP="006922D1">
      <w:pPr>
        <w:pStyle w:val="ListeParagraf"/>
        <w:numPr>
          <w:ilvl w:val="0"/>
          <w:numId w:val="6"/>
        </w:numPr>
        <w:spacing w:line="480" w:lineRule="auto"/>
        <w:rPr>
          <w:rFonts w:ascii="Tahoma" w:hAnsi="Tahoma" w:cs="Tahoma"/>
          <w:sz w:val="20"/>
          <w:szCs w:val="20"/>
        </w:rPr>
      </w:pPr>
      <w:r w:rsidRPr="00573696">
        <w:rPr>
          <w:rFonts w:ascii="Tahoma" w:hAnsi="Tahoma" w:cs="Tahoma"/>
          <w:sz w:val="20"/>
          <w:szCs w:val="20"/>
        </w:rPr>
        <w:t>Uluslararası ve ulusal kaynakçı belgelendirme programları</w:t>
      </w:r>
    </w:p>
    <w:p w:rsidR="006922D1" w:rsidRPr="00573696" w:rsidRDefault="006922D1" w:rsidP="006922D1">
      <w:pPr>
        <w:pStyle w:val="ListeParagraf"/>
        <w:numPr>
          <w:ilvl w:val="0"/>
          <w:numId w:val="6"/>
        </w:numPr>
        <w:spacing w:line="480" w:lineRule="auto"/>
        <w:rPr>
          <w:rFonts w:ascii="Tahoma" w:hAnsi="Tahoma" w:cs="Tahoma"/>
          <w:sz w:val="20"/>
          <w:szCs w:val="20"/>
        </w:rPr>
      </w:pPr>
      <w:r w:rsidRPr="00573696">
        <w:rPr>
          <w:rFonts w:ascii="Tahoma" w:hAnsi="Tahoma" w:cs="Tahoma"/>
          <w:sz w:val="20"/>
          <w:szCs w:val="20"/>
        </w:rPr>
        <w:t>Ön üretim, üretim ve üretim sonrası uygulamalarla bağlantılı kaynak kusurlarının tanımlanması ve değerlendirilmesi</w:t>
      </w:r>
    </w:p>
    <w:p w:rsidR="00801396" w:rsidRPr="00573696" w:rsidRDefault="006922D1" w:rsidP="006922D1">
      <w:pPr>
        <w:pStyle w:val="ListeParagraf"/>
        <w:numPr>
          <w:ilvl w:val="0"/>
          <w:numId w:val="6"/>
        </w:numPr>
        <w:spacing w:line="480" w:lineRule="auto"/>
        <w:rPr>
          <w:rFonts w:ascii="Tahoma" w:hAnsi="Tahoma" w:cs="Tahoma"/>
          <w:sz w:val="20"/>
          <w:szCs w:val="20"/>
        </w:rPr>
      </w:pPr>
      <w:r w:rsidRPr="00573696">
        <w:rPr>
          <w:rFonts w:ascii="Tahoma" w:hAnsi="Tahoma" w:cs="Tahoma"/>
          <w:sz w:val="20"/>
          <w:szCs w:val="20"/>
        </w:rPr>
        <w:t>Ulusal şartname ve yönetmeliklere göre muayene gereksinimleri</w:t>
      </w:r>
    </w:p>
    <w:p w:rsidR="006922D1" w:rsidRPr="00573696" w:rsidRDefault="006922D1" w:rsidP="006922D1">
      <w:pPr>
        <w:spacing w:line="360" w:lineRule="auto"/>
        <w:rPr>
          <w:rFonts w:ascii="Tahoma" w:hAnsi="Tahoma" w:cs="Tahoma"/>
          <w:b/>
          <w:sz w:val="20"/>
          <w:szCs w:val="20"/>
        </w:rPr>
      </w:pPr>
      <w:r w:rsidRPr="00573696">
        <w:rPr>
          <w:rFonts w:ascii="Tahoma" w:hAnsi="Tahoma" w:cs="Tahoma"/>
          <w:b/>
          <w:sz w:val="20"/>
          <w:szCs w:val="20"/>
        </w:rPr>
        <w:t xml:space="preserve">Bir </w:t>
      </w:r>
      <w:proofErr w:type="spellStart"/>
      <w:r w:rsidRPr="00573696">
        <w:rPr>
          <w:rFonts w:ascii="Tahoma" w:hAnsi="Tahoma" w:cs="Tahoma"/>
          <w:b/>
          <w:sz w:val="20"/>
          <w:szCs w:val="20"/>
        </w:rPr>
        <w:t>enspektörün</w:t>
      </w:r>
      <w:proofErr w:type="spellEnd"/>
      <w:r w:rsidRPr="00573696">
        <w:rPr>
          <w:rFonts w:ascii="Tahoma" w:hAnsi="Tahoma" w:cs="Tahoma"/>
          <w:b/>
          <w:sz w:val="20"/>
          <w:szCs w:val="20"/>
        </w:rPr>
        <w:t xml:space="preserve"> temel yükümlülükleri şunlardır:</w:t>
      </w:r>
    </w:p>
    <w:p w:rsidR="006922D1" w:rsidRPr="00573696" w:rsidRDefault="006922D1" w:rsidP="006922D1">
      <w:pPr>
        <w:pStyle w:val="ListeParagraf"/>
        <w:numPr>
          <w:ilvl w:val="0"/>
          <w:numId w:val="8"/>
        </w:numPr>
        <w:spacing w:line="480" w:lineRule="auto"/>
        <w:rPr>
          <w:rFonts w:ascii="Tahoma" w:hAnsi="Tahoma" w:cs="Tahoma"/>
          <w:sz w:val="20"/>
          <w:szCs w:val="20"/>
        </w:rPr>
      </w:pPr>
      <w:r w:rsidRPr="00573696">
        <w:rPr>
          <w:rFonts w:ascii="Tahoma" w:hAnsi="Tahoma" w:cs="Tahoma"/>
          <w:sz w:val="20"/>
          <w:szCs w:val="20"/>
        </w:rPr>
        <w:t>Test ve muayenelerin kalite planına uygun yapıldığının denetlenmesi</w:t>
      </w:r>
    </w:p>
    <w:p w:rsidR="006922D1" w:rsidRPr="00573696" w:rsidRDefault="006922D1" w:rsidP="006922D1">
      <w:pPr>
        <w:pStyle w:val="ListeParagraf"/>
        <w:numPr>
          <w:ilvl w:val="0"/>
          <w:numId w:val="8"/>
        </w:numPr>
        <w:spacing w:line="480" w:lineRule="auto"/>
        <w:rPr>
          <w:rFonts w:ascii="Tahoma" w:hAnsi="Tahoma" w:cs="Tahoma"/>
          <w:sz w:val="20"/>
          <w:szCs w:val="20"/>
        </w:rPr>
      </w:pPr>
      <w:r w:rsidRPr="00573696">
        <w:rPr>
          <w:rFonts w:ascii="Tahoma" w:hAnsi="Tahoma" w:cs="Tahoma"/>
          <w:sz w:val="20"/>
          <w:szCs w:val="20"/>
        </w:rPr>
        <w:t>Çizim ve şartnamelerin yorumlanması</w:t>
      </w:r>
    </w:p>
    <w:p w:rsidR="006922D1" w:rsidRPr="00573696" w:rsidRDefault="006922D1" w:rsidP="006922D1">
      <w:pPr>
        <w:pStyle w:val="ListeParagraf"/>
        <w:numPr>
          <w:ilvl w:val="0"/>
          <w:numId w:val="8"/>
        </w:numPr>
        <w:spacing w:line="480" w:lineRule="auto"/>
        <w:rPr>
          <w:rFonts w:ascii="Tahoma" w:hAnsi="Tahoma" w:cs="Tahoma"/>
          <w:sz w:val="20"/>
          <w:szCs w:val="20"/>
        </w:rPr>
      </w:pPr>
      <w:r w:rsidRPr="00573696">
        <w:rPr>
          <w:rFonts w:ascii="Tahoma" w:hAnsi="Tahoma" w:cs="Tahoma"/>
          <w:sz w:val="20"/>
          <w:szCs w:val="20"/>
        </w:rPr>
        <w:t>Kaynak talimatı (WPS) ve Kaynakçı/Kaynak operatörü belgesinin doğrulanması</w:t>
      </w:r>
    </w:p>
    <w:p w:rsidR="006922D1" w:rsidRPr="00573696" w:rsidRDefault="006922D1" w:rsidP="006922D1">
      <w:pPr>
        <w:pStyle w:val="ListeParagraf"/>
        <w:numPr>
          <w:ilvl w:val="0"/>
          <w:numId w:val="8"/>
        </w:numPr>
        <w:spacing w:line="480" w:lineRule="auto"/>
        <w:rPr>
          <w:rFonts w:ascii="Tahoma" w:hAnsi="Tahoma" w:cs="Tahoma"/>
          <w:sz w:val="20"/>
          <w:szCs w:val="20"/>
        </w:rPr>
      </w:pPr>
      <w:r w:rsidRPr="00573696">
        <w:rPr>
          <w:rFonts w:ascii="Tahoma" w:hAnsi="Tahoma" w:cs="Tahoma"/>
          <w:sz w:val="20"/>
          <w:szCs w:val="20"/>
        </w:rPr>
        <w:t>Üretim testi için numune seçimi</w:t>
      </w:r>
    </w:p>
    <w:p w:rsidR="006922D1" w:rsidRPr="00573696" w:rsidRDefault="006922D1" w:rsidP="006922D1">
      <w:pPr>
        <w:pStyle w:val="ListeParagraf"/>
        <w:numPr>
          <w:ilvl w:val="0"/>
          <w:numId w:val="8"/>
        </w:numPr>
        <w:spacing w:line="480" w:lineRule="auto"/>
        <w:rPr>
          <w:rFonts w:ascii="Tahoma" w:hAnsi="Tahoma" w:cs="Tahoma"/>
          <w:sz w:val="20"/>
          <w:szCs w:val="20"/>
        </w:rPr>
      </w:pPr>
      <w:r w:rsidRPr="00573696">
        <w:rPr>
          <w:rFonts w:ascii="Tahoma" w:hAnsi="Tahoma" w:cs="Tahoma"/>
          <w:sz w:val="20"/>
          <w:szCs w:val="20"/>
        </w:rPr>
        <w:t>Test sonuçlarının yorumlanması</w:t>
      </w:r>
    </w:p>
    <w:p w:rsidR="006922D1" w:rsidRPr="00573696" w:rsidRDefault="006922D1" w:rsidP="006922D1">
      <w:pPr>
        <w:pStyle w:val="ListeParagraf"/>
        <w:numPr>
          <w:ilvl w:val="0"/>
          <w:numId w:val="8"/>
        </w:numPr>
        <w:spacing w:line="480" w:lineRule="auto"/>
        <w:rPr>
          <w:rFonts w:ascii="Tahoma" w:hAnsi="Tahoma" w:cs="Tahoma"/>
          <w:sz w:val="20"/>
          <w:szCs w:val="20"/>
        </w:rPr>
      </w:pPr>
      <w:r w:rsidRPr="00573696">
        <w:rPr>
          <w:rFonts w:ascii="Tahoma" w:hAnsi="Tahoma" w:cs="Tahoma"/>
          <w:sz w:val="20"/>
          <w:szCs w:val="20"/>
        </w:rPr>
        <w:t>Rapor hazırlanması, raporların saklanması</w:t>
      </w:r>
    </w:p>
    <w:p w:rsidR="006922D1" w:rsidRPr="00573696" w:rsidRDefault="006922D1" w:rsidP="006922D1">
      <w:pPr>
        <w:pStyle w:val="ListeParagraf"/>
        <w:numPr>
          <w:ilvl w:val="0"/>
          <w:numId w:val="8"/>
        </w:numPr>
        <w:spacing w:line="480" w:lineRule="auto"/>
        <w:rPr>
          <w:rFonts w:ascii="Tahoma" w:hAnsi="Tahoma" w:cs="Tahoma"/>
          <w:sz w:val="20"/>
          <w:szCs w:val="20"/>
        </w:rPr>
      </w:pPr>
      <w:r w:rsidRPr="00573696">
        <w:rPr>
          <w:rFonts w:ascii="Tahoma" w:hAnsi="Tahoma" w:cs="Tahoma"/>
          <w:sz w:val="20"/>
          <w:szCs w:val="20"/>
        </w:rPr>
        <w:t xml:space="preserve">Muayene </w:t>
      </w:r>
      <w:proofErr w:type="gramStart"/>
      <w:r w:rsidRPr="00573696">
        <w:rPr>
          <w:rFonts w:ascii="Tahoma" w:hAnsi="Tahoma" w:cs="Tahoma"/>
          <w:sz w:val="20"/>
          <w:szCs w:val="20"/>
        </w:rPr>
        <w:t>prosedürlerinin</w:t>
      </w:r>
      <w:proofErr w:type="gramEnd"/>
      <w:r w:rsidRPr="00573696">
        <w:rPr>
          <w:rFonts w:ascii="Tahoma" w:hAnsi="Tahoma" w:cs="Tahoma"/>
          <w:sz w:val="20"/>
          <w:szCs w:val="20"/>
        </w:rPr>
        <w:t xml:space="preserve"> hazırlanması</w:t>
      </w:r>
    </w:p>
    <w:p w:rsidR="006922D1" w:rsidRPr="00573696" w:rsidRDefault="006922D1" w:rsidP="006922D1">
      <w:pPr>
        <w:pStyle w:val="ListeParagraf"/>
        <w:numPr>
          <w:ilvl w:val="0"/>
          <w:numId w:val="8"/>
        </w:numPr>
        <w:spacing w:line="480" w:lineRule="auto"/>
        <w:rPr>
          <w:rFonts w:ascii="Tahoma" w:hAnsi="Tahoma" w:cs="Tahoma"/>
          <w:sz w:val="20"/>
          <w:szCs w:val="20"/>
        </w:rPr>
      </w:pPr>
      <w:r w:rsidRPr="00573696">
        <w:rPr>
          <w:rFonts w:ascii="Tahoma" w:hAnsi="Tahoma" w:cs="Tahoma"/>
          <w:sz w:val="20"/>
          <w:szCs w:val="20"/>
        </w:rPr>
        <w:t>Tahribatsız muayene (NDT) uygulamalarının doğruluğunun denetlenmesi</w:t>
      </w:r>
    </w:p>
    <w:p w:rsidR="001E6AD5" w:rsidRPr="00573696" w:rsidRDefault="001E6AD5" w:rsidP="001E6AD5">
      <w:pPr>
        <w:rPr>
          <w:rFonts w:ascii="Tahoma" w:hAnsi="Tahoma" w:cs="Tahoma"/>
          <w:b/>
          <w:sz w:val="20"/>
          <w:szCs w:val="20"/>
        </w:rPr>
      </w:pPr>
      <w:r w:rsidRPr="00573696">
        <w:rPr>
          <w:rFonts w:ascii="Tahoma" w:hAnsi="Tahoma" w:cs="Tahoma"/>
          <w:b/>
          <w:sz w:val="20"/>
          <w:szCs w:val="20"/>
        </w:rPr>
        <w:t>Eğitim Yeri:</w:t>
      </w:r>
    </w:p>
    <w:p w:rsidR="006922D1" w:rsidRPr="00573696" w:rsidRDefault="001E6AD5" w:rsidP="004048DC">
      <w:pPr>
        <w:rPr>
          <w:rFonts w:ascii="Tahoma" w:hAnsi="Tahoma" w:cs="Tahoma"/>
          <w:sz w:val="20"/>
          <w:szCs w:val="20"/>
        </w:rPr>
      </w:pPr>
      <w:r w:rsidRPr="00573696">
        <w:rPr>
          <w:rFonts w:ascii="Tahoma" w:hAnsi="Tahoma" w:cs="Tahoma"/>
          <w:sz w:val="20"/>
          <w:szCs w:val="20"/>
        </w:rPr>
        <w:t>ANKARA</w:t>
      </w:r>
    </w:p>
    <w:p w:rsidR="00281C9E" w:rsidRDefault="00281C9E" w:rsidP="008F17BC">
      <w:pPr>
        <w:rPr>
          <w:rFonts w:ascii="Tahoma" w:hAnsi="Tahoma" w:cs="Tahoma"/>
          <w:sz w:val="20"/>
          <w:szCs w:val="20"/>
        </w:rPr>
      </w:pPr>
      <w:bookmarkStart w:id="0" w:name="_GoBack"/>
      <w:bookmarkEnd w:id="0"/>
    </w:p>
    <w:p w:rsidR="00281C9E" w:rsidRDefault="00281C9E" w:rsidP="008F17BC">
      <w:pPr>
        <w:rPr>
          <w:rFonts w:ascii="Tahoma" w:hAnsi="Tahoma" w:cs="Tahoma"/>
          <w:sz w:val="20"/>
          <w:szCs w:val="20"/>
        </w:rPr>
      </w:pPr>
    </w:p>
    <w:p w:rsidR="00281C9E" w:rsidRPr="00573696" w:rsidRDefault="00281C9E" w:rsidP="008F17BC">
      <w:pPr>
        <w:rPr>
          <w:rFonts w:ascii="Tahoma" w:hAnsi="Tahoma" w:cs="Tahoma"/>
          <w:sz w:val="20"/>
          <w:szCs w:val="20"/>
        </w:rPr>
      </w:pPr>
    </w:p>
    <w:sectPr w:rsidR="00281C9E" w:rsidRPr="0057369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5B4" w:rsidRDefault="00E975B4" w:rsidP="00E975B4">
      <w:pPr>
        <w:spacing w:after="0" w:line="240" w:lineRule="auto"/>
      </w:pPr>
      <w:r>
        <w:separator/>
      </w:r>
    </w:p>
  </w:endnote>
  <w:endnote w:type="continuationSeparator" w:id="0">
    <w:p w:rsidR="00E975B4" w:rsidRDefault="00E975B4" w:rsidP="00E97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5B4" w:rsidRDefault="00E975B4" w:rsidP="00E975B4">
      <w:pPr>
        <w:spacing w:after="0" w:line="240" w:lineRule="auto"/>
      </w:pPr>
      <w:r>
        <w:separator/>
      </w:r>
    </w:p>
  </w:footnote>
  <w:footnote w:type="continuationSeparator" w:id="0">
    <w:p w:rsidR="00E975B4" w:rsidRDefault="00E975B4" w:rsidP="00E975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4152"/>
      <w:gridCol w:w="2539"/>
    </w:tblGrid>
    <w:tr w:rsidR="004048DC" w:rsidRPr="00460046" w:rsidTr="00065F01">
      <w:trPr>
        <w:trHeight w:val="1372"/>
      </w:trPr>
      <w:tc>
        <w:tcPr>
          <w:tcW w:w="2628" w:type="dxa"/>
          <w:tcBorders>
            <w:right w:val="single" w:sz="18" w:space="0" w:color="auto"/>
          </w:tcBorders>
          <w:vAlign w:val="center"/>
        </w:tcPr>
        <w:p w:rsidR="004048DC" w:rsidRPr="00460046" w:rsidRDefault="004048DC" w:rsidP="00065F01">
          <w:pPr>
            <w:pStyle w:val="stbilgi"/>
            <w:jc w:val="center"/>
            <w:rPr>
              <w:sz w:val="20"/>
              <w:szCs w:val="20"/>
            </w:rPr>
          </w:pPr>
          <w:r>
            <w:rPr>
              <w:noProof/>
              <w:sz w:val="20"/>
              <w:szCs w:val="20"/>
              <w:lang w:eastAsia="tr-TR"/>
            </w:rPr>
            <w:drawing>
              <wp:inline distT="0" distB="0" distL="0" distR="0" wp14:anchorId="59B46487" wp14:editId="788180EE">
                <wp:extent cx="1047750" cy="1024466"/>
                <wp:effectExtent l="0" t="0" r="0" b="4445"/>
                <wp:docPr id="7" name="Resim 7" descr="C:\Users\Belgin\Desktop\IIW YEN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elgin\Desktop\IIW YENİ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454" cy="1026132"/>
                        </a:xfrm>
                        <a:prstGeom prst="rect">
                          <a:avLst/>
                        </a:prstGeom>
                        <a:noFill/>
                        <a:ln>
                          <a:noFill/>
                        </a:ln>
                      </pic:spPr>
                    </pic:pic>
                  </a:graphicData>
                </a:graphic>
              </wp:inline>
            </w:drawing>
          </w:r>
        </w:p>
      </w:tc>
      <w:tc>
        <w:tcPr>
          <w:tcW w:w="4320" w:type="dxa"/>
          <w:tcBorders>
            <w:top w:val="single" w:sz="18" w:space="0" w:color="auto"/>
            <w:left w:val="single" w:sz="18" w:space="0" w:color="auto"/>
            <w:bottom w:val="single" w:sz="18" w:space="0" w:color="auto"/>
            <w:right w:val="single" w:sz="18" w:space="0" w:color="auto"/>
          </w:tcBorders>
          <w:vAlign w:val="center"/>
        </w:tcPr>
        <w:p w:rsidR="004048DC" w:rsidRPr="00460046" w:rsidRDefault="004048DC" w:rsidP="00065F01">
          <w:pPr>
            <w:pStyle w:val="stbilgi"/>
            <w:jc w:val="center"/>
            <w:rPr>
              <w:sz w:val="20"/>
              <w:szCs w:val="20"/>
            </w:rPr>
          </w:pPr>
        </w:p>
      </w:tc>
      <w:tc>
        <w:tcPr>
          <w:tcW w:w="2575" w:type="dxa"/>
          <w:tcBorders>
            <w:left w:val="single" w:sz="18" w:space="0" w:color="auto"/>
          </w:tcBorders>
          <w:vAlign w:val="center"/>
        </w:tcPr>
        <w:p w:rsidR="004048DC" w:rsidRPr="00460046" w:rsidRDefault="004048DC" w:rsidP="00065F01">
          <w:pPr>
            <w:pStyle w:val="stbilgi"/>
            <w:jc w:val="center"/>
            <w:rPr>
              <w:sz w:val="20"/>
              <w:szCs w:val="20"/>
            </w:rPr>
          </w:pPr>
          <w:r>
            <w:rPr>
              <w:noProof/>
              <w:sz w:val="20"/>
              <w:szCs w:val="20"/>
              <w:lang w:eastAsia="tr-TR"/>
            </w:rPr>
            <w:drawing>
              <wp:inline distT="0" distB="0" distL="0" distR="0" wp14:anchorId="779E48F8" wp14:editId="0E6254B2">
                <wp:extent cx="923925" cy="447675"/>
                <wp:effectExtent l="0" t="0" r="9525" b="9525"/>
                <wp:docPr id="2" name="Resim 2" descr="odtu_kt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dtu_ktm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925" cy="447675"/>
                        </a:xfrm>
                        <a:prstGeom prst="rect">
                          <a:avLst/>
                        </a:prstGeom>
                        <a:noFill/>
                        <a:ln>
                          <a:noFill/>
                        </a:ln>
                      </pic:spPr>
                    </pic:pic>
                  </a:graphicData>
                </a:graphic>
              </wp:inline>
            </w:drawing>
          </w:r>
        </w:p>
      </w:tc>
    </w:tr>
  </w:tbl>
  <w:p w:rsidR="00E975B4" w:rsidRDefault="00E975B4">
    <w:pPr>
      <w:pStyle w:val="stbilgi"/>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9" o:spid="_x0000_i1026" type="#_x0000_t75" style="width:1200pt;height:675pt;visibility:visible;mso-wrap-style:square" o:bullet="t">
        <v:imagedata r:id="rId1" o:title="" croptop="25800f" cropbottom="37512f" cropleft="26356f" cropright="37095f"/>
      </v:shape>
    </w:pict>
  </w:numPicBullet>
  <w:abstractNum w:abstractNumId="0">
    <w:nsid w:val="1C395DD0"/>
    <w:multiLevelType w:val="hybridMultilevel"/>
    <w:tmpl w:val="96BE782A"/>
    <w:lvl w:ilvl="0" w:tplc="AF62DB3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85D2004"/>
    <w:multiLevelType w:val="hybridMultilevel"/>
    <w:tmpl w:val="3990B604"/>
    <w:lvl w:ilvl="0" w:tplc="4178E42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BE64357"/>
    <w:multiLevelType w:val="hybridMultilevel"/>
    <w:tmpl w:val="47529B0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9F657BD"/>
    <w:multiLevelType w:val="hybridMultilevel"/>
    <w:tmpl w:val="59D48D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F834028"/>
    <w:multiLevelType w:val="hybridMultilevel"/>
    <w:tmpl w:val="97F03CD6"/>
    <w:lvl w:ilvl="0" w:tplc="DF08C34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AE01FAB"/>
    <w:multiLevelType w:val="hybridMultilevel"/>
    <w:tmpl w:val="4D3EBA6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8702509"/>
    <w:multiLevelType w:val="hybridMultilevel"/>
    <w:tmpl w:val="45542606"/>
    <w:lvl w:ilvl="0" w:tplc="2AD0C79C">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DDF1876"/>
    <w:multiLevelType w:val="hybridMultilevel"/>
    <w:tmpl w:val="35B6F81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FF4784F"/>
    <w:multiLevelType w:val="hybridMultilevel"/>
    <w:tmpl w:val="95DCBB4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8"/>
  </w:num>
  <w:num w:numId="5">
    <w:abstractNumId w:val="0"/>
  </w:num>
  <w:num w:numId="6">
    <w:abstractNumId w:val="2"/>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738"/>
    <w:rsid w:val="00045738"/>
    <w:rsid w:val="001E6AD5"/>
    <w:rsid w:val="0020036A"/>
    <w:rsid w:val="00281C9E"/>
    <w:rsid w:val="004048DC"/>
    <w:rsid w:val="00430475"/>
    <w:rsid w:val="004C0F26"/>
    <w:rsid w:val="004D3EFC"/>
    <w:rsid w:val="00535099"/>
    <w:rsid w:val="00573696"/>
    <w:rsid w:val="006922D1"/>
    <w:rsid w:val="00801396"/>
    <w:rsid w:val="008A0FAD"/>
    <w:rsid w:val="008F17BC"/>
    <w:rsid w:val="008F7B63"/>
    <w:rsid w:val="009B5DFE"/>
    <w:rsid w:val="00C77FC8"/>
    <w:rsid w:val="00E975B4"/>
    <w:rsid w:val="00EB7E7B"/>
    <w:rsid w:val="00F704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C1840D-621D-4F2E-B1CD-37D4AB9D1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975B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75B4"/>
    <w:rPr>
      <w:rFonts w:ascii="Tahoma" w:hAnsi="Tahoma" w:cs="Tahoma"/>
      <w:sz w:val="16"/>
      <w:szCs w:val="16"/>
    </w:rPr>
  </w:style>
  <w:style w:type="paragraph" w:styleId="ListeParagraf">
    <w:name w:val="List Paragraph"/>
    <w:basedOn w:val="Normal"/>
    <w:uiPriority w:val="34"/>
    <w:qFormat/>
    <w:rsid w:val="00E975B4"/>
    <w:pPr>
      <w:ind w:left="720"/>
      <w:contextualSpacing/>
    </w:pPr>
  </w:style>
  <w:style w:type="paragraph" w:styleId="stbilgi">
    <w:name w:val="header"/>
    <w:basedOn w:val="Normal"/>
    <w:link w:val="stbilgiChar"/>
    <w:uiPriority w:val="99"/>
    <w:unhideWhenUsed/>
    <w:rsid w:val="00E975B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975B4"/>
  </w:style>
  <w:style w:type="paragraph" w:styleId="Altbilgi">
    <w:name w:val="footer"/>
    <w:basedOn w:val="Normal"/>
    <w:link w:val="AltbilgiChar"/>
    <w:uiPriority w:val="99"/>
    <w:unhideWhenUsed/>
    <w:rsid w:val="00E975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975B4"/>
  </w:style>
  <w:style w:type="character" w:styleId="Kpr">
    <w:name w:val="Hyperlink"/>
    <w:basedOn w:val="VarsaylanParagrafYazTipi"/>
    <w:uiPriority w:val="99"/>
    <w:unhideWhenUsed/>
    <w:rsid w:val="009B5D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si.com.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633</Words>
  <Characters>3610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Nil</cp:lastModifiedBy>
  <cp:revision>15</cp:revision>
  <dcterms:created xsi:type="dcterms:W3CDTF">2016-02-16T08:01:00Z</dcterms:created>
  <dcterms:modified xsi:type="dcterms:W3CDTF">2024-08-13T12:12:00Z</dcterms:modified>
</cp:coreProperties>
</file>